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962BD" w14:textId="7FB89FE7" w:rsidR="00620CA9" w:rsidRDefault="00620CA9" w:rsidP="00055EF7">
      <w:pPr>
        <w:numPr>
          <w:ilvl w:val="0"/>
          <w:numId w:val="1"/>
        </w:numPr>
        <w:spacing w:before="240"/>
        <w:ind w:left="357" w:hanging="357"/>
        <w:jc w:val="both"/>
        <w:rPr>
          <w:rFonts w:ascii="Arial" w:hAnsi="Arial" w:cs="Arial"/>
          <w:bCs/>
          <w:spacing w:val="-3"/>
          <w:sz w:val="22"/>
          <w:szCs w:val="22"/>
        </w:rPr>
      </w:pPr>
      <w:r w:rsidRPr="00620CA9">
        <w:rPr>
          <w:rFonts w:ascii="Arial" w:hAnsi="Arial" w:cs="Arial"/>
          <w:bCs/>
          <w:spacing w:val="-3"/>
          <w:sz w:val="22"/>
          <w:szCs w:val="22"/>
        </w:rPr>
        <w:t>In response to the Queensland Government’s commitment to legislate against coercive control, in March 2021 the independent Women’s Safety and Justice Taskforce (Taskforce) was established to examine coercive control, review the need for a specific offence of domestic violence and the experience of women across the criminal justice system.</w:t>
      </w:r>
    </w:p>
    <w:p w14:paraId="0DFC989A" w14:textId="50C1FBCA" w:rsidR="00620CA9" w:rsidRDefault="00467B87" w:rsidP="00055EF7">
      <w:pPr>
        <w:numPr>
          <w:ilvl w:val="0"/>
          <w:numId w:val="1"/>
        </w:numPr>
        <w:spacing w:before="240"/>
        <w:ind w:left="357" w:hanging="357"/>
        <w:jc w:val="both"/>
        <w:rPr>
          <w:rFonts w:ascii="Arial" w:hAnsi="Arial" w:cs="Arial"/>
          <w:bCs/>
          <w:spacing w:val="-3"/>
          <w:sz w:val="22"/>
          <w:szCs w:val="22"/>
        </w:rPr>
      </w:pPr>
      <w:r>
        <w:rPr>
          <w:rFonts w:ascii="Arial" w:hAnsi="Arial" w:cs="Arial"/>
          <w:bCs/>
          <w:spacing w:val="-3"/>
          <w:sz w:val="22"/>
          <w:szCs w:val="22"/>
        </w:rPr>
        <w:t xml:space="preserve">The </w:t>
      </w:r>
      <w:r w:rsidR="009E5851" w:rsidRPr="009E5851">
        <w:rPr>
          <w:rFonts w:ascii="Arial" w:hAnsi="Arial" w:cs="Arial"/>
          <w:bCs/>
          <w:spacing w:val="-3"/>
          <w:sz w:val="22"/>
          <w:szCs w:val="22"/>
        </w:rPr>
        <w:t xml:space="preserve">Domestic and Family Violence Protection (Combating Coercive Control) and Other Legislation Amendment Bill 2022 </w:t>
      </w:r>
      <w:r>
        <w:rPr>
          <w:rFonts w:ascii="Arial" w:hAnsi="Arial" w:cs="Arial"/>
          <w:bCs/>
          <w:spacing w:val="-3"/>
          <w:sz w:val="22"/>
          <w:szCs w:val="22"/>
        </w:rPr>
        <w:t xml:space="preserve">(Bill) seeks to </w:t>
      </w:r>
      <w:r w:rsidR="002E3292">
        <w:rPr>
          <w:rFonts w:ascii="Arial" w:hAnsi="Arial" w:cs="Arial"/>
          <w:bCs/>
          <w:spacing w:val="-3"/>
          <w:sz w:val="22"/>
          <w:szCs w:val="22"/>
        </w:rPr>
        <w:t xml:space="preserve">give effect to legislative reform recommended in recommendations 52 to 60 and 63 to 66 by the Taskforce </w:t>
      </w:r>
      <w:r>
        <w:rPr>
          <w:rFonts w:ascii="Arial" w:hAnsi="Arial" w:cs="Arial"/>
          <w:bCs/>
          <w:spacing w:val="-3"/>
          <w:sz w:val="22"/>
          <w:szCs w:val="22"/>
        </w:rPr>
        <w:t>in Chapter 3.8</w:t>
      </w:r>
      <w:r w:rsidRPr="00467B87">
        <w:rPr>
          <w:rFonts w:ascii="Arial" w:hAnsi="Arial" w:cs="Arial"/>
          <w:bCs/>
          <w:spacing w:val="-3"/>
          <w:sz w:val="22"/>
          <w:szCs w:val="22"/>
        </w:rPr>
        <w:t xml:space="preserve"> </w:t>
      </w:r>
      <w:r>
        <w:rPr>
          <w:rFonts w:ascii="Arial" w:hAnsi="Arial" w:cs="Arial"/>
          <w:bCs/>
          <w:spacing w:val="-3"/>
          <w:sz w:val="22"/>
          <w:szCs w:val="22"/>
        </w:rPr>
        <w:t xml:space="preserve">of its </w:t>
      </w:r>
      <w:r w:rsidRPr="00467B87">
        <w:rPr>
          <w:rFonts w:ascii="Arial" w:hAnsi="Arial" w:cs="Arial"/>
          <w:bCs/>
          <w:spacing w:val="-3"/>
          <w:sz w:val="22"/>
          <w:szCs w:val="22"/>
        </w:rPr>
        <w:t>first report</w:t>
      </w:r>
      <w:r>
        <w:rPr>
          <w:rFonts w:ascii="Arial" w:hAnsi="Arial" w:cs="Arial"/>
          <w:bCs/>
          <w:spacing w:val="-3"/>
          <w:sz w:val="22"/>
          <w:szCs w:val="22"/>
        </w:rPr>
        <w:t xml:space="preserve">, </w:t>
      </w:r>
      <w:r w:rsidRPr="00467B87">
        <w:rPr>
          <w:rFonts w:ascii="Arial" w:hAnsi="Arial" w:cs="Arial"/>
          <w:bCs/>
          <w:i/>
          <w:iCs/>
          <w:spacing w:val="-3"/>
          <w:sz w:val="22"/>
          <w:szCs w:val="22"/>
        </w:rPr>
        <w:t>Hear her voice: Addressing coercive control and domestic and family violence in Queensland</w:t>
      </w:r>
      <w:r>
        <w:rPr>
          <w:rFonts w:ascii="Arial" w:hAnsi="Arial" w:cs="Arial"/>
          <w:bCs/>
          <w:spacing w:val="-3"/>
          <w:sz w:val="22"/>
          <w:szCs w:val="22"/>
        </w:rPr>
        <w:t xml:space="preserve"> (December 2021)</w:t>
      </w:r>
      <w:r w:rsidR="006A1840">
        <w:rPr>
          <w:rFonts w:ascii="Arial" w:hAnsi="Arial" w:cs="Arial"/>
          <w:bCs/>
          <w:spacing w:val="-3"/>
          <w:sz w:val="22"/>
          <w:szCs w:val="22"/>
        </w:rPr>
        <w:t xml:space="preserve"> (report)</w:t>
      </w:r>
      <w:r w:rsidR="00A10ADA">
        <w:rPr>
          <w:rFonts w:ascii="Arial" w:hAnsi="Arial" w:cs="Arial"/>
          <w:bCs/>
          <w:spacing w:val="-3"/>
          <w:sz w:val="22"/>
          <w:szCs w:val="22"/>
        </w:rPr>
        <w:t>. This includes amendments to the</w:t>
      </w:r>
      <w:r w:rsidR="00A10ADA" w:rsidRPr="00A10ADA">
        <w:rPr>
          <w:rFonts w:ascii="Arial" w:hAnsi="Arial" w:cs="Arial"/>
          <w:sz w:val="22"/>
          <w:szCs w:val="22"/>
        </w:rPr>
        <w:t xml:space="preserve"> </w:t>
      </w:r>
      <w:r w:rsidR="00A10ADA" w:rsidRPr="00546694">
        <w:rPr>
          <w:rFonts w:ascii="Arial" w:hAnsi="Arial" w:cs="Arial"/>
          <w:sz w:val="22"/>
          <w:szCs w:val="22"/>
        </w:rPr>
        <w:t>Criminal Code, the</w:t>
      </w:r>
      <w:r w:rsidR="00A10ADA" w:rsidRPr="00546694">
        <w:rPr>
          <w:rFonts w:ascii="Arial" w:hAnsi="Arial" w:cs="Arial"/>
          <w:i/>
          <w:iCs/>
          <w:sz w:val="22"/>
          <w:szCs w:val="22"/>
        </w:rPr>
        <w:t xml:space="preserve"> Domestic and Family Violence Protection Act 2012</w:t>
      </w:r>
      <w:r w:rsidR="00A10ADA">
        <w:rPr>
          <w:rFonts w:ascii="Arial" w:hAnsi="Arial" w:cs="Arial"/>
          <w:sz w:val="22"/>
          <w:szCs w:val="22"/>
        </w:rPr>
        <w:t>,</w:t>
      </w:r>
      <w:r w:rsidR="00A10ADA" w:rsidRPr="00546694">
        <w:rPr>
          <w:rFonts w:ascii="Arial" w:hAnsi="Arial" w:cs="Arial"/>
          <w:sz w:val="22"/>
          <w:szCs w:val="22"/>
        </w:rPr>
        <w:t xml:space="preserve"> the </w:t>
      </w:r>
      <w:r w:rsidR="00A10ADA" w:rsidRPr="00546694">
        <w:rPr>
          <w:rFonts w:ascii="Arial" w:hAnsi="Arial" w:cs="Arial"/>
          <w:i/>
          <w:iCs/>
          <w:sz w:val="22"/>
          <w:szCs w:val="22"/>
        </w:rPr>
        <w:t>Evidence Act 1977</w:t>
      </w:r>
      <w:r w:rsidR="00A10ADA">
        <w:rPr>
          <w:rFonts w:ascii="Arial" w:hAnsi="Arial" w:cs="Arial"/>
          <w:sz w:val="22"/>
          <w:szCs w:val="22"/>
        </w:rPr>
        <w:t xml:space="preserve"> and </w:t>
      </w:r>
      <w:r w:rsidR="00A10ADA" w:rsidRPr="00546694">
        <w:rPr>
          <w:rFonts w:ascii="Arial" w:hAnsi="Arial" w:cs="Arial"/>
          <w:sz w:val="22"/>
          <w:szCs w:val="22"/>
        </w:rPr>
        <w:t xml:space="preserve">the </w:t>
      </w:r>
      <w:r w:rsidR="00A10ADA" w:rsidRPr="00546694">
        <w:rPr>
          <w:rFonts w:ascii="Arial" w:hAnsi="Arial" w:cs="Arial"/>
          <w:i/>
          <w:iCs/>
          <w:sz w:val="22"/>
          <w:szCs w:val="22"/>
        </w:rPr>
        <w:t>Penalties and Sentences Act 1992</w:t>
      </w:r>
      <w:r w:rsidR="00A10ADA">
        <w:rPr>
          <w:rFonts w:ascii="Arial" w:hAnsi="Arial" w:cs="Arial"/>
          <w:sz w:val="22"/>
          <w:szCs w:val="22"/>
        </w:rPr>
        <w:t>.</w:t>
      </w:r>
    </w:p>
    <w:p w14:paraId="39909E2C" w14:textId="735F7A76" w:rsidR="00620CA9" w:rsidRDefault="00620CA9" w:rsidP="00055EF7">
      <w:pPr>
        <w:numPr>
          <w:ilvl w:val="0"/>
          <w:numId w:val="1"/>
        </w:numPr>
        <w:spacing w:before="240"/>
        <w:ind w:left="357" w:hanging="357"/>
        <w:jc w:val="both"/>
        <w:rPr>
          <w:rFonts w:ascii="Arial" w:hAnsi="Arial" w:cs="Arial"/>
          <w:bCs/>
          <w:spacing w:val="-3"/>
          <w:sz w:val="22"/>
          <w:szCs w:val="22"/>
        </w:rPr>
      </w:pPr>
      <w:r>
        <w:rPr>
          <w:rFonts w:ascii="Arial" w:hAnsi="Arial" w:cs="Arial"/>
          <w:bCs/>
          <w:spacing w:val="-3"/>
          <w:sz w:val="22"/>
          <w:szCs w:val="22"/>
        </w:rPr>
        <w:t xml:space="preserve">The Bill </w:t>
      </w:r>
      <w:r w:rsidR="00A10ADA">
        <w:rPr>
          <w:rFonts w:ascii="Arial" w:hAnsi="Arial" w:cs="Arial"/>
          <w:bCs/>
          <w:spacing w:val="-3"/>
          <w:sz w:val="22"/>
          <w:szCs w:val="22"/>
        </w:rPr>
        <w:t>also aims</w:t>
      </w:r>
      <w:r>
        <w:rPr>
          <w:rFonts w:ascii="Arial" w:hAnsi="Arial" w:cs="Arial"/>
          <w:bCs/>
          <w:spacing w:val="-3"/>
          <w:sz w:val="22"/>
          <w:szCs w:val="22"/>
        </w:rPr>
        <w:t xml:space="preserve"> to:</w:t>
      </w:r>
    </w:p>
    <w:p w14:paraId="51E432A1" w14:textId="6290A5F3" w:rsidR="00B77436" w:rsidRPr="00467B87" w:rsidRDefault="00620CA9" w:rsidP="00574891">
      <w:pPr>
        <w:numPr>
          <w:ilvl w:val="1"/>
          <w:numId w:val="1"/>
        </w:numPr>
        <w:spacing w:before="120"/>
        <w:jc w:val="both"/>
        <w:rPr>
          <w:rFonts w:ascii="Arial" w:hAnsi="Arial" w:cs="Arial"/>
          <w:bCs/>
          <w:spacing w:val="-3"/>
          <w:sz w:val="22"/>
          <w:szCs w:val="22"/>
        </w:rPr>
      </w:pPr>
      <w:r>
        <w:rPr>
          <w:rFonts w:ascii="Arial" w:hAnsi="Arial" w:cs="Arial"/>
          <w:sz w:val="22"/>
          <w:szCs w:val="22"/>
        </w:rPr>
        <w:t xml:space="preserve">amend the </w:t>
      </w:r>
      <w:r w:rsidR="00467B87" w:rsidRPr="00467B87" w:rsidDel="00D375DF">
        <w:rPr>
          <w:rFonts w:ascii="Arial" w:hAnsi="Arial" w:cs="Arial"/>
          <w:i/>
          <w:iCs/>
          <w:sz w:val="22"/>
          <w:szCs w:val="22"/>
        </w:rPr>
        <w:t>Youth Justice Act 1992</w:t>
      </w:r>
      <w:r w:rsidR="00467B87" w:rsidRPr="00467B87" w:rsidDel="00D375DF">
        <w:rPr>
          <w:rFonts w:ascii="Arial" w:hAnsi="Arial" w:cs="Arial"/>
          <w:sz w:val="22"/>
          <w:szCs w:val="22"/>
        </w:rPr>
        <w:t xml:space="preserve"> to mirror legislative amendments in the </w:t>
      </w:r>
      <w:r w:rsidR="00467B87" w:rsidRPr="00467B87" w:rsidDel="00D375DF">
        <w:rPr>
          <w:rFonts w:ascii="Arial" w:hAnsi="Arial" w:cs="Arial"/>
          <w:i/>
          <w:iCs/>
          <w:sz w:val="22"/>
          <w:szCs w:val="22"/>
        </w:rPr>
        <w:t>Penalties and Sentences Act 1992</w:t>
      </w:r>
      <w:r w:rsidR="00467B87" w:rsidRPr="00467B87" w:rsidDel="00D375DF">
        <w:rPr>
          <w:rFonts w:ascii="Arial" w:hAnsi="Arial" w:cs="Arial"/>
          <w:sz w:val="22"/>
          <w:szCs w:val="22"/>
        </w:rPr>
        <w:t xml:space="preserve"> </w:t>
      </w:r>
      <w:r>
        <w:rPr>
          <w:rFonts w:ascii="Arial" w:hAnsi="Arial" w:cs="Arial"/>
          <w:sz w:val="22"/>
          <w:szCs w:val="22"/>
        </w:rPr>
        <w:t xml:space="preserve">in respect of </w:t>
      </w:r>
      <w:r w:rsidR="00467B87" w:rsidRPr="00467B87" w:rsidDel="00D375DF">
        <w:rPr>
          <w:rFonts w:ascii="Arial" w:hAnsi="Arial" w:cs="Arial"/>
          <w:sz w:val="22"/>
          <w:szCs w:val="22"/>
        </w:rPr>
        <w:t>children and juvenile offenders</w:t>
      </w:r>
      <w:r>
        <w:rPr>
          <w:rFonts w:ascii="Arial" w:hAnsi="Arial" w:cs="Arial"/>
          <w:sz w:val="22"/>
          <w:szCs w:val="22"/>
        </w:rPr>
        <w:t>;</w:t>
      </w:r>
    </w:p>
    <w:p w14:paraId="32464FB0" w14:textId="77777777" w:rsidR="00B46F88" w:rsidRPr="00B46F88" w:rsidRDefault="00742E10" w:rsidP="00574891">
      <w:pPr>
        <w:numPr>
          <w:ilvl w:val="1"/>
          <w:numId w:val="1"/>
        </w:numPr>
        <w:spacing w:before="120"/>
        <w:jc w:val="both"/>
        <w:rPr>
          <w:rFonts w:ascii="Arial" w:hAnsi="Arial" w:cs="Arial"/>
          <w:bCs/>
          <w:spacing w:val="-3"/>
          <w:sz w:val="22"/>
          <w:szCs w:val="22"/>
        </w:rPr>
      </w:pPr>
      <w:r w:rsidRPr="00467B87" w:rsidDel="00D375DF">
        <w:rPr>
          <w:rFonts w:ascii="Arial" w:hAnsi="Arial" w:cs="Arial"/>
          <w:sz w:val="22"/>
          <w:szCs w:val="22"/>
        </w:rPr>
        <w:t>modernise and update sexual offence terminology in the Criminal Code in response to advocacy that the language appropriately reflects criminal conduct</w:t>
      </w:r>
      <w:r w:rsidR="00B46F88">
        <w:rPr>
          <w:rFonts w:ascii="Arial" w:hAnsi="Arial" w:cs="Arial"/>
          <w:sz w:val="22"/>
          <w:szCs w:val="22"/>
        </w:rPr>
        <w:t>;</w:t>
      </w:r>
    </w:p>
    <w:p w14:paraId="74A7307E" w14:textId="4C52EC87" w:rsidR="00B77436" w:rsidRPr="00467B87" w:rsidRDefault="00B46F88" w:rsidP="00574891">
      <w:pPr>
        <w:numPr>
          <w:ilvl w:val="1"/>
          <w:numId w:val="1"/>
        </w:numPr>
        <w:spacing w:before="120"/>
        <w:jc w:val="both"/>
        <w:rPr>
          <w:rFonts w:ascii="Arial" w:hAnsi="Arial" w:cs="Arial"/>
          <w:bCs/>
          <w:spacing w:val="-3"/>
          <w:sz w:val="22"/>
          <w:szCs w:val="22"/>
        </w:rPr>
      </w:pPr>
      <w:r>
        <w:rPr>
          <w:rFonts w:ascii="Arial" w:hAnsi="Arial" w:cs="Arial"/>
          <w:sz w:val="22"/>
          <w:szCs w:val="22"/>
        </w:rPr>
        <w:t xml:space="preserve">amend the </w:t>
      </w:r>
      <w:r w:rsidRPr="00B46F88">
        <w:rPr>
          <w:rFonts w:ascii="Arial" w:hAnsi="Arial" w:cs="Arial"/>
          <w:i/>
          <w:iCs/>
          <w:sz w:val="22"/>
          <w:szCs w:val="22"/>
        </w:rPr>
        <w:t>Evidence Act 1977</w:t>
      </w:r>
      <w:r>
        <w:rPr>
          <w:rFonts w:ascii="Arial" w:hAnsi="Arial" w:cs="Arial"/>
          <w:sz w:val="22"/>
          <w:szCs w:val="22"/>
        </w:rPr>
        <w:t xml:space="preserve"> to </w:t>
      </w:r>
      <w:r w:rsidR="00742E10" w:rsidRPr="00467B87" w:rsidDel="00D375DF">
        <w:rPr>
          <w:rFonts w:ascii="Arial" w:hAnsi="Arial" w:cs="Arial"/>
          <w:sz w:val="22"/>
          <w:szCs w:val="22"/>
        </w:rPr>
        <w:t>address stakeholder concerns regarding the operation of the sexual assault counselling privilege framework in relation to the standing of counsellors and victims and alleged victims of sexual assault offences;</w:t>
      </w:r>
    </w:p>
    <w:p w14:paraId="6ED58C56" w14:textId="77777777" w:rsidR="00B77436" w:rsidRPr="00546694" w:rsidRDefault="00742E10" w:rsidP="00574891">
      <w:pPr>
        <w:numPr>
          <w:ilvl w:val="1"/>
          <w:numId w:val="1"/>
        </w:numPr>
        <w:spacing w:before="120"/>
        <w:jc w:val="both"/>
        <w:rPr>
          <w:rFonts w:ascii="Arial" w:hAnsi="Arial" w:cs="Arial"/>
          <w:bCs/>
          <w:spacing w:val="-3"/>
          <w:sz w:val="22"/>
          <w:szCs w:val="22"/>
        </w:rPr>
      </w:pPr>
      <w:r w:rsidRPr="00546694" w:rsidDel="00D375DF">
        <w:rPr>
          <w:rFonts w:ascii="Arial" w:eastAsia="SimSun" w:hAnsi="Arial" w:cs="Arial"/>
          <w:sz w:val="22"/>
          <w:szCs w:val="22"/>
          <w:lang w:eastAsia="zh-CN"/>
        </w:rPr>
        <w:t xml:space="preserve">amend the </w:t>
      </w:r>
      <w:r w:rsidRPr="00546694" w:rsidDel="00D375DF">
        <w:rPr>
          <w:rFonts w:ascii="Arial" w:eastAsia="SimSun" w:hAnsi="Arial" w:cs="Arial"/>
          <w:i/>
          <w:iCs/>
          <w:sz w:val="22"/>
          <w:szCs w:val="22"/>
          <w:lang w:eastAsia="zh-CN"/>
        </w:rPr>
        <w:t>Coroners Act 2003</w:t>
      </w:r>
      <w:r w:rsidRPr="00546694" w:rsidDel="00D375DF">
        <w:rPr>
          <w:rFonts w:ascii="Arial" w:eastAsia="SimSun" w:hAnsi="Arial" w:cs="Arial"/>
          <w:sz w:val="22"/>
          <w:szCs w:val="22"/>
          <w:lang w:eastAsia="zh-CN"/>
        </w:rPr>
        <w:t xml:space="preserve"> to remove the limitation upon the re-appointment of the State Coroner and the Deputy State Coroner; </w:t>
      </w:r>
    </w:p>
    <w:p w14:paraId="429071B3" w14:textId="77777777" w:rsidR="00B77436" w:rsidRPr="00546694" w:rsidRDefault="00742E10" w:rsidP="00574891">
      <w:pPr>
        <w:numPr>
          <w:ilvl w:val="1"/>
          <w:numId w:val="1"/>
        </w:numPr>
        <w:spacing w:before="120"/>
        <w:jc w:val="both"/>
        <w:rPr>
          <w:rFonts w:ascii="Arial" w:hAnsi="Arial" w:cs="Arial"/>
          <w:bCs/>
          <w:spacing w:val="-3"/>
          <w:sz w:val="22"/>
          <w:szCs w:val="22"/>
        </w:rPr>
      </w:pPr>
      <w:r w:rsidRPr="00546694">
        <w:rPr>
          <w:rFonts w:ascii="Arial" w:eastAsia="SimSun" w:hAnsi="Arial" w:cs="Arial"/>
          <w:sz w:val="22"/>
          <w:szCs w:val="22"/>
          <w:lang w:eastAsia="zh-CN"/>
        </w:rPr>
        <w:t xml:space="preserve">amend the </w:t>
      </w:r>
      <w:r w:rsidRPr="00546694">
        <w:rPr>
          <w:rFonts w:ascii="Arial" w:eastAsia="SimSun" w:hAnsi="Arial" w:cs="Arial"/>
          <w:i/>
          <w:iCs/>
          <w:sz w:val="22"/>
          <w:szCs w:val="22"/>
          <w:lang w:eastAsia="zh-CN"/>
        </w:rPr>
        <w:t>Oaths Act 1867</w:t>
      </w:r>
      <w:r w:rsidRPr="00546694">
        <w:rPr>
          <w:rFonts w:ascii="Arial" w:eastAsia="SimSun" w:hAnsi="Arial" w:cs="Arial"/>
          <w:sz w:val="22"/>
          <w:szCs w:val="22"/>
          <w:lang w:eastAsia="zh-CN"/>
        </w:rPr>
        <w:t xml:space="preserve"> to address issues in the implementation of the </w:t>
      </w:r>
      <w:r w:rsidRPr="00546694">
        <w:rPr>
          <w:rFonts w:ascii="Arial" w:eastAsia="SimSun" w:hAnsi="Arial" w:cs="Arial"/>
          <w:i/>
          <w:sz w:val="22"/>
          <w:szCs w:val="22"/>
          <w:lang w:eastAsia="zh-CN"/>
        </w:rPr>
        <w:t>Justice and Other Legislation Amendment Act 2021</w:t>
      </w:r>
      <w:r w:rsidRPr="00546694">
        <w:rPr>
          <w:rFonts w:ascii="Arial" w:eastAsia="SimSun" w:hAnsi="Arial" w:cs="Arial"/>
          <w:sz w:val="22"/>
          <w:szCs w:val="22"/>
          <w:lang w:eastAsia="zh-CN"/>
        </w:rPr>
        <w:t>;</w:t>
      </w:r>
      <w:r w:rsidR="00B77436" w:rsidRPr="00546694">
        <w:rPr>
          <w:rFonts w:ascii="Arial" w:eastAsia="SimSun" w:hAnsi="Arial" w:cs="Arial"/>
          <w:sz w:val="22"/>
          <w:szCs w:val="22"/>
          <w:lang w:eastAsia="zh-CN"/>
        </w:rPr>
        <w:t xml:space="preserve"> and</w:t>
      </w:r>
    </w:p>
    <w:p w14:paraId="47A042C6" w14:textId="645240E5" w:rsidR="00742E10" w:rsidRPr="00546694" w:rsidDel="00D375DF" w:rsidRDefault="00742E10" w:rsidP="00574891">
      <w:pPr>
        <w:numPr>
          <w:ilvl w:val="1"/>
          <w:numId w:val="1"/>
        </w:numPr>
        <w:spacing w:before="120"/>
        <w:jc w:val="both"/>
        <w:rPr>
          <w:rFonts w:ascii="Arial" w:hAnsi="Arial" w:cs="Arial"/>
          <w:bCs/>
          <w:spacing w:val="-3"/>
          <w:sz w:val="22"/>
          <w:szCs w:val="22"/>
        </w:rPr>
      </w:pPr>
      <w:r w:rsidRPr="00546694" w:rsidDel="00D375DF">
        <w:rPr>
          <w:rFonts w:ascii="Arial" w:eastAsia="SimSun" w:hAnsi="Arial" w:cs="Arial"/>
          <w:sz w:val="22"/>
          <w:szCs w:val="22"/>
          <w:lang w:eastAsia="zh-CN"/>
        </w:rPr>
        <w:t xml:space="preserve">amend the </w:t>
      </w:r>
      <w:r w:rsidRPr="00546694" w:rsidDel="00D375DF">
        <w:rPr>
          <w:rFonts w:ascii="Arial" w:eastAsia="SimSun" w:hAnsi="Arial" w:cs="Arial"/>
          <w:i/>
          <w:iCs/>
          <w:sz w:val="22"/>
          <w:szCs w:val="22"/>
          <w:lang w:eastAsia="zh-CN"/>
        </w:rPr>
        <w:t xml:space="preserve">Telecommunications Interception Act 2009 </w:t>
      </w:r>
      <w:r w:rsidRPr="00546694" w:rsidDel="00D375DF">
        <w:rPr>
          <w:rFonts w:ascii="Arial" w:eastAsia="SimSun" w:hAnsi="Arial" w:cs="Arial"/>
          <w:sz w:val="22"/>
          <w:szCs w:val="22"/>
          <w:lang w:eastAsia="zh-CN"/>
        </w:rPr>
        <w:t>to enable the Public Interest Monitor to perform the role intended under the International Production Order (IPO) scheme in relation to applications for interception IPOs.</w:t>
      </w:r>
    </w:p>
    <w:p w14:paraId="4CBA4D2A" w14:textId="68DB5DAC" w:rsidR="00620CA9" w:rsidRDefault="00F708D9" w:rsidP="00055EF7">
      <w:pPr>
        <w:numPr>
          <w:ilvl w:val="0"/>
          <w:numId w:val="1"/>
        </w:numPr>
        <w:spacing w:before="240"/>
        <w:ind w:left="357" w:hanging="357"/>
        <w:jc w:val="both"/>
        <w:rPr>
          <w:rFonts w:ascii="Arial" w:hAnsi="Arial" w:cs="Arial"/>
          <w:bCs/>
          <w:spacing w:val="-3"/>
          <w:sz w:val="22"/>
          <w:szCs w:val="22"/>
        </w:rPr>
      </w:pPr>
      <w:r w:rsidRPr="00546694">
        <w:rPr>
          <w:rFonts w:ascii="Arial" w:hAnsi="Arial" w:cs="Arial"/>
          <w:bCs/>
          <w:spacing w:val="-3"/>
          <w:sz w:val="22"/>
          <w:szCs w:val="22"/>
          <w:u w:val="single"/>
        </w:rPr>
        <w:t>Cabinet approved</w:t>
      </w:r>
      <w:r w:rsidRPr="00546694">
        <w:rPr>
          <w:rFonts w:ascii="Arial" w:hAnsi="Arial" w:cs="Arial"/>
          <w:bCs/>
          <w:spacing w:val="-3"/>
          <w:sz w:val="22"/>
          <w:szCs w:val="22"/>
        </w:rPr>
        <w:t xml:space="preserve"> </w:t>
      </w:r>
      <w:r w:rsidR="00025FB5" w:rsidRPr="00546694">
        <w:rPr>
          <w:rFonts w:ascii="Arial" w:hAnsi="Arial" w:cs="Arial"/>
          <w:bCs/>
          <w:spacing w:val="-3"/>
          <w:sz w:val="22"/>
          <w:szCs w:val="22"/>
        </w:rPr>
        <w:t>that the</w:t>
      </w:r>
      <w:r w:rsidRPr="00546694">
        <w:rPr>
          <w:rFonts w:ascii="Arial" w:hAnsi="Arial" w:cs="Arial"/>
          <w:bCs/>
          <w:spacing w:val="-3"/>
          <w:sz w:val="22"/>
          <w:szCs w:val="22"/>
        </w:rPr>
        <w:t xml:space="preserve"> Domestic and Family Violence Protection (Combating Coercive Control) and Other Legislation Amendment Bill 2022</w:t>
      </w:r>
      <w:r w:rsidR="00025FB5" w:rsidRPr="00546694">
        <w:rPr>
          <w:rFonts w:ascii="Arial" w:hAnsi="Arial" w:cs="Arial"/>
          <w:bCs/>
          <w:spacing w:val="-3"/>
          <w:sz w:val="22"/>
          <w:szCs w:val="22"/>
        </w:rPr>
        <w:t xml:space="preserve"> be introduced into the Legislative Assembly</w:t>
      </w:r>
      <w:r w:rsidRPr="00546694">
        <w:rPr>
          <w:rFonts w:ascii="Arial" w:hAnsi="Arial" w:cs="Arial"/>
          <w:bCs/>
          <w:spacing w:val="-3"/>
          <w:sz w:val="22"/>
          <w:szCs w:val="22"/>
        </w:rPr>
        <w:t>.</w:t>
      </w:r>
    </w:p>
    <w:p w14:paraId="5D660C05" w14:textId="5A95C5F5" w:rsidR="000879B2" w:rsidRPr="00620CA9" w:rsidRDefault="00620CA9" w:rsidP="00055EF7">
      <w:pPr>
        <w:numPr>
          <w:ilvl w:val="0"/>
          <w:numId w:val="1"/>
        </w:numPr>
        <w:spacing w:before="240"/>
        <w:ind w:left="357" w:hanging="357"/>
        <w:jc w:val="both"/>
        <w:rPr>
          <w:rFonts w:ascii="Arial" w:hAnsi="Arial" w:cs="Arial"/>
          <w:bCs/>
          <w:spacing w:val="-3"/>
          <w:sz w:val="22"/>
          <w:szCs w:val="22"/>
        </w:rPr>
      </w:pPr>
      <w:r w:rsidRPr="00620CA9">
        <w:rPr>
          <w:rFonts w:ascii="Arial" w:hAnsi="Arial" w:cs="Arial"/>
          <w:bCs/>
          <w:spacing w:val="-3"/>
          <w:sz w:val="22"/>
          <w:szCs w:val="22"/>
          <w:u w:val="single"/>
        </w:rPr>
        <w:t>Cabinet noted</w:t>
      </w:r>
      <w:r w:rsidRPr="00620CA9">
        <w:rPr>
          <w:rFonts w:ascii="Arial" w:hAnsi="Arial" w:cs="Arial"/>
          <w:bCs/>
          <w:spacing w:val="-3"/>
          <w:sz w:val="22"/>
          <w:szCs w:val="22"/>
        </w:rPr>
        <w:t xml:space="preserve"> that in the Queensland Government’s response to the </w:t>
      </w:r>
      <w:r w:rsidR="006474FD" w:rsidRPr="00467B87">
        <w:rPr>
          <w:rFonts w:ascii="Arial" w:hAnsi="Arial" w:cs="Arial"/>
          <w:bCs/>
          <w:i/>
          <w:iCs/>
          <w:spacing w:val="-3"/>
          <w:sz w:val="22"/>
          <w:szCs w:val="22"/>
        </w:rPr>
        <w:t>Hear her voice: Addressing coercive control and domestic and family violence in Queensland</w:t>
      </w:r>
      <w:r w:rsidR="006474FD">
        <w:rPr>
          <w:rFonts w:ascii="Arial" w:hAnsi="Arial" w:cs="Arial"/>
          <w:bCs/>
          <w:i/>
          <w:iCs/>
          <w:spacing w:val="-3"/>
          <w:sz w:val="22"/>
          <w:szCs w:val="22"/>
        </w:rPr>
        <w:t xml:space="preserve"> </w:t>
      </w:r>
      <w:r w:rsidRPr="00620CA9">
        <w:rPr>
          <w:rFonts w:ascii="Arial" w:hAnsi="Arial" w:cs="Arial"/>
          <w:bCs/>
          <w:spacing w:val="-3"/>
          <w:sz w:val="22"/>
          <w:szCs w:val="22"/>
        </w:rPr>
        <w:t>report, the Government committed to immediately progress the legislative amendments contained in the Bill.</w:t>
      </w:r>
    </w:p>
    <w:p w14:paraId="3FC57D54" w14:textId="465C335E" w:rsidR="00F708D9" w:rsidRPr="00546694" w:rsidRDefault="00F708D9" w:rsidP="00055EF7">
      <w:pPr>
        <w:keepNext/>
        <w:numPr>
          <w:ilvl w:val="0"/>
          <w:numId w:val="1"/>
        </w:numPr>
        <w:spacing w:before="360"/>
        <w:ind w:left="357" w:hanging="357"/>
        <w:jc w:val="both"/>
        <w:rPr>
          <w:rFonts w:ascii="Arial" w:hAnsi="Arial" w:cs="Arial"/>
          <w:sz w:val="22"/>
          <w:szCs w:val="22"/>
        </w:rPr>
      </w:pPr>
      <w:r w:rsidRPr="00546694">
        <w:rPr>
          <w:rFonts w:ascii="Arial" w:hAnsi="Arial" w:cs="Arial"/>
          <w:i/>
          <w:sz w:val="22"/>
          <w:szCs w:val="22"/>
          <w:u w:val="single"/>
        </w:rPr>
        <w:t>Attachments</w:t>
      </w:r>
      <w:r w:rsidR="006474FD">
        <w:rPr>
          <w:rFonts w:ascii="Arial" w:hAnsi="Arial" w:cs="Arial"/>
          <w:iCs/>
          <w:sz w:val="22"/>
          <w:szCs w:val="22"/>
        </w:rPr>
        <w:t>:</w:t>
      </w:r>
    </w:p>
    <w:p w14:paraId="2DD29137" w14:textId="430C80CC" w:rsidR="009E5851" w:rsidRDefault="00692B2B" w:rsidP="00574891">
      <w:pPr>
        <w:numPr>
          <w:ilvl w:val="0"/>
          <w:numId w:val="2"/>
        </w:numPr>
        <w:spacing w:before="120"/>
        <w:ind w:left="811"/>
        <w:jc w:val="both"/>
        <w:rPr>
          <w:rFonts w:ascii="Arial" w:hAnsi="Arial" w:cs="Arial"/>
          <w:sz w:val="22"/>
          <w:szCs w:val="22"/>
        </w:rPr>
      </w:pPr>
      <w:hyperlink r:id="rId9" w:history="1">
        <w:r w:rsidR="009E5851" w:rsidRPr="003035A9">
          <w:rPr>
            <w:rStyle w:val="Hyperlink"/>
            <w:rFonts w:ascii="Arial" w:hAnsi="Arial" w:cs="Arial"/>
            <w:sz w:val="22"/>
            <w:szCs w:val="22"/>
          </w:rPr>
          <w:t>Domestic and Family Violence Protection (Combating Coercive Control) and Other Legislation Amendment Bill 2022</w:t>
        </w:r>
      </w:hyperlink>
    </w:p>
    <w:p w14:paraId="5B8712C8" w14:textId="6F02E7BF" w:rsidR="00F708D9" w:rsidRPr="00546694" w:rsidRDefault="00692B2B" w:rsidP="00574891">
      <w:pPr>
        <w:numPr>
          <w:ilvl w:val="0"/>
          <w:numId w:val="2"/>
        </w:numPr>
        <w:spacing w:before="120"/>
        <w:ind w:left="811"/>
        <w:jc w:val="both"/>
        <w:rPr>
          <w:rFonts w:ascii="Arial" w:hAnsi="Arial" w:cs="Arial"/>
          <w:sz w:val="22"/>
          <w:szCs w:val="22"/>
        </w:rPr>
      </w:pPr>
      <w:hyperlink r:id="rId10" w:history="1">
        <w:r w:rsidR="00F708D9" w:rsidRPr="003035A9">
          <w:rPr>
            <w:rStyle w:val="Hyperlink"/>
            <w:rFonts w:ascii="Arial" w:hAnsi="Arial" w:cs="Arial"/>
            <w:sz w:val="22"/>
            <w:szCs w:val="22"/>
          </w:rPr>
          <w:t>Explanatory Notes</w:t>
        </w:r>
      </w:hyperlink>
      <w:r w:rsidR="00F708D9" w:rsidRPr="003035A9">
        <w:rPr>
          <w:rFonts w:ascii="Arial" w:hAnsi="Arial" w:cs="Arial"/>
          <w:sz w:val="22"/>
          <w:szCs w:val="22"/>
        </w:rPr>
        <w:t xml:space="preserve"> </w:t>
      </w:r>
    </w:p>
    <w:p w14:paraId="2E861B14" w14:textId="5C51D0F4" w:rsidR="002D6BC7" w:rsidRDefault="00692B2B" w:rsidP="00574891">
      <w:pPr>
        <w:numPr>
          <w:ilvl w:val="0"/>
          <w:numId w:val="2"/>
        </w:numPr>
        <w:spacing w:before="120"/>
        <w:ind w:left="811"/>
        <w:jc w:val="both"/>
        <w:rPr>
          <w:rFonts w:ascii="Arial" w:hAnsi="Arial" w:cs="Arial"/>
          <w:sz w:val="22"/>
          <w:szCs w:val="22"/>
        </w:rPr>
      </w:pPr>
      <w:hyperlink r:id="rId11" w:history="1">
        <w:r w:rsidR="00F708D9" w:rsidRPr="003035A9">
          <w:rPr>
            <w:rStyle w:val="Hyperlink"/>
            <w:rFonts w:ascii="Arial" w:hAnsi="Arial" w:cs="Arial"/>
            <w:sz w:val="22"/>
            <w:szCs w:val="22"/>
          </w:rPr>
          <w:t>Human Rights Statement of Compatibility</w:t>
        </w:r>
      </w:hyperlink>
    </w:p>
    <w:sectPr w:rsidR="002D6BC7" w:rsidSect="000304C0">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1EC35" w14:textId="77777777" w:rsidR="0062571B" w:rsidRDefault="0062571B" w:rsidP="00D6589B">
      <w:r>
        <w:separator/>
      </w:r>
    </w:p>
  </w:endnote>
  <w:endnote w:type="continuationSeparator" w:id="0">
    <w:p w14:paraId="5BE9382E" w14:textId="77777777" w:rsidR="0062571B" w:rsidRDefault="0062571B"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2CBA0" w14:textId="77777777" w:rsidR="0062571B" w:rsidRDefault="0062571B" w:rsidP="00D6589B">
      <w:r>
        <w:separator/>
      </w:r>
    </w:p>
  </w:footnote>
  <w:footnote w:type="continuationSeparator" w:id="0">
    <w:p w14:paraId="24116C86" w14:textId="77777777" w:rsidR="0062571B" w:rsidRDefault="0062571B"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2D08" w14:textId="77777777" w:rsidR="006474FD" w:rsidRPr="00937A4A" w:rsidRDefault="006474FD" w:rsidP="006474FD">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93F54AA" w14:textId="77777777" w:rsidR="006474FD" w:rsidRPr="00937A4A" w:rsidRDefault="006474FD" w:rsidP="006474F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D9FBF8C" w14:textId="31938359" w:rsidR="006474FD" w:rsidRPr="00937A4A" w:rsidRDefault="006474FD" w:rsidP="006474F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October 2022</w:t>
    </w:r>
  </w:p>
  <w:p w14:paraId="648423C4" w14:textId="74708538" w:rsidR="006474FD" w:rsidRDefault="006474FD" w:rsidP="006474FD">
    <w:pPr>
      <w:pStyle w:val="Header"/>
      <w:spacing w:before="120"/>
      <w:rPr>
        <w:rFonts w:ascii="Arial" w:hAnsi="Arial" w:cs="Arial"/>
        <w:b/>
        <w:sz w:val="22"/>
        <w:szCs w:val="22"/>
        <w:u w:val="single"/>
      </w:rPr>
    </w:pPr>
    <w:r w:rsidRPr="009E5851">
      <w:rPr>
        <w:rFonts w:ascii="Arial" w:hAnsi="Arial" w:cs="Arial"/>
        <w:b/>
        <w:sz w:val="22"/>
        <w:szCs w:val="22"/>
        <w:u w:val="single"/>
      </w:rPr>
      <w:t>Domestic and Family Violence Protection (Combating Coercive Control) and Other Legislation Amendment Bill 2022</w:t>
    </w:r>
  </w:p>
  <w:p w14:paraId="3C5D021A" w14:textId="3299D705" w:rsidR="006474FD" w:rsidRDefault="006474FD" w:rsidP="006474FD">
    <w:pPr>
      <w:pStyle w:val="Header"/>
      <w:spacing w:before="120"/>
      <w:rPr>
        <w:rFonts w:ascii="Arial" w:hAnsi="Arial" w:cs="Arial"/>
        <w:b/>
        <w:sz w:val="22"/>
        <w:szCs w:val="22"/>
        <w:u w:val="single"/>
      </w:rPr>
    </w:pPr>
    <w:r w:rsidRPr="0098719C">
      <w:rPr>
        <w:rFonts w:ascii="Arial" w:hAnsi="Arial" w:cs="Arial"/>
        <w:b/>
        <w:color w:val="auto"/>
        <w:sz w:val="22"/>
        <w:szCs w:val="22"/>
        <w:u w:val="single"/>
      </w:rPr>
      <w:t>Attorney-General and Minister for Justice, Minister for Women and Minister for the Prevention of Domestic and Family Violenc</w:t>
    </w:r>
    <w:r>
      <w:rPr>
        <w:rFonts w:ascii="Arial" w:hAnsi="Arial" w:cs="Arial"/>
        <w:b/>
        <w:color w:val="auto"/>
        <w:sz w:val="22"/>
        <w:szCs w:val="22"/>
        <w:u w:val="single"/>
      </w:rPr>
      <w:t>e</w:t>
    </w:r>
  </w:p>
  <w:p w14:paraId="57266880" w14:textId="77777777" w:rsidR="006474FD" w:rsidRDefault="006474FD" w:rsidP="006474FD">
    <w:pPr>
      <w:pStyle w:val="Header"/>
      <w:pBdr>
        <w:bottom w:val="single" w:sz="4" w:space="1" w:color="auto"/>
      </w:pBdr>
    </w:pPr>
  </w:p>
  <w:p w14:paraId="4FB883A3" w14:textId="4D9CEBCE" w:rsidR="00CB1501" w:rsidRPr="006474FD" w:rsidRDefault="00CB1501" w:rsidP="00647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CC3A12"/>
    <w:multiLevelType w:val="hybridMultilevel"/>
    <w:tmpl w:val="B01477B6"/>
    <w:lvl w:ilvl="0" w:tplc="F2CE9136">
      <w:start w:val="1"/>
      <w:numFmt w:val="decimal"/>
      <w:lvlText w:val="%1."/>
      <w:lvlJc w:val="left"/>
      <w:pPr>
        <w:tabs>
          <w:tab w:val="num" w:pos="720"/>
        </w:tabs>
        <w:ind w:left="720" w:hanging="360"/>
      </w:pPr>
      <w:rPr>
        <w:b/>
        <w:bCs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A3F197B"/>
    <w:multiLevelType w:val="hybridMultilevel"/>
    <w:tmpl w:val="71206462"/>
    <w:lvl w:ilvl="0" w:tplc="ED9409B4">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176F87"/>
    <w:multiLevelType w:val="hybridMultilevel"/>
    <w:tmpl w:val="05AAC6D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210458323">
    <w:abstractNumId w:val="3"/>
  </w:num>
  <w:num w:numId="2" w16cid:durableId="175310257">
    <w:abstractNumId w:val="1"/>
  </w:num>
  <w:num w:numId="3" w16cid:durableId="950748825">
    <w:abstractNumId w:val="0"/>
  </w:num>
  <w:num w:numId="4" w16cid:durableId="2072119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25FB5"/>
    <w:rsid w:val="000304C0"/>
    <w:rsid w:val="00045DAD"/>
    <w:rsid w:val="00054F44"/>
    <w:rsid w:val="00055EF7"/>
    <w:rsid w:val="00080F8F"/>
    <w:rsid w:val="000879B2"/>
    <w:rsid w:val="0010384C"/>
    <w:rsid w:val="00174117"/>
    <w:rsid w:val="002525EA"/>
    <w:rsid w:val="002D6BC7"/>
    <w:rsid w:val="002E3292"/>
    <w:rsid w:val="003035A9"/>
    <w:rsid w:val="00390EE5"/>
    <w:rsid w:val="003A3BDD"/>
    <w:rsid w:val="00467B87"/>
    <w:rsid w:val="00474B0B"/>
    <w:rsid w:val="004C591D"/>
    <w:rsid w:val="00501C66"/>
    <w:rsid w:val="00516928"/>
    <w:rsid w:val="00546694"/>
    <w:rsid w:val="00550873"/>
    <w:rsid w:val="00574891"/>
    <w:rsid w:val="00620CA9"/>
    <w:rsid w:val="0062571B"/>
    <w:rsid w:val="006474FD"/>
    <w:rsid w:val="00692B2B"/>
    <w:rsid w:val="006A1840"/>
    <w:rsid w:val="007142C8"/>
    <w:rsid w:val="00715394"/>
    <w:rsid w:val="007265D0"/>
    <w:rsid w:val="00732E22"/>
    <w:rsid w:val="00741C20"/>
    <w:rsid w:val="00742E10"/>
    <w:rsid w:val="00755311"/>
    <w:rsid w:val="007E77CE"/>
    <w:rsid w:val="007F44F4"/>
    <w:rsid w:val="00811365"/>
    <w:rsid w:val="008D0377"/>
    <w:rsid w:val="00904077"/>
    <w:rsid w:val="00937A4A"/>
    <w:rsid w:val="00970EFC"/>
    <w:rsid w:val="009E5851"/>
    <w:rsid w:val="00A10ADA"/>
    <w:rsid w:val="00A51506"/>
    <w:rsid w:val="00AA4DE7"/>
    <w:rsid w:val="00AE17FA"/>
    <w:rsid w:val="00B10C4C"/>
    <w:rsid w:val="00B46F88"/>
    <w:rsid w:val="00B77436"/>
    <w:rsid w:val="00C35FB6"/>
    <w:rsid w:val="00C75E67"/>
    <w:rsid w:val="00CB1501"/>
    <w:rsid w:val="00CD7A50"/>
    <w:rsid w:val="00CE45CE"/>
    <w:rsid w:val="00CF0D8A"/>
    <w:rsid w:val="00D6589B"/>
    <w:rsid w:val="00DA5722"/>
    <w:rsid w:val="00E06337"/>
    <w:rsid w:val="00E50FD6"/>
    <w:rsid w:val="00E84DE1"/>
    <w:rsid w:val="00F02557"/>
    <w:rsid w:val="00F45B99"/>
    <w:rsid w:val="00F60F9F"/>
    <w:rsid w:val="00F662B9"/>
    <w:rsid w:val="00F708D9"/>
    <w:rsid w:val="00F77CE0"/>
    <w:rsid w:val="00FB5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8D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列出段"/>
    <w:basedOn w:val="Normal"/>
    <w:link w:val="ListParagraphChar"/>
    <w:uiPriority w:val="34"/>
    <w:qFormat/>
    <w:rsid w:val="00742E10"/>
    <w:pPr>
      <w:ind w:left="720"/>
      <w:contextualSpacing/>
    </w:pPr>
    <w:rPr>
      <w:color w:val="auto"/>
    </w:r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列出段 Char"/>
    <w:link w:val="ListParagraph"/>
    <w:uiPriority w:val="34"/>
    <w:qFormat/>
    <w:locked/>
    <w:rsid w:val="00742E10"/>
    <w:rPr>
      <w:rFonts w:ascii="Times New Roman" w:eastAsia="Times New Roman" w:hAnsi="Times New Roman"/>
      <w:sz w:val="24"/>
    </w:rPr>
  </w:style>
  <w:style w:type="character" w:styleId="CommentReference">
    <w:name w:val="annotation reference"/>
    <w:basedOn w:val="DefaultParagraphFont"/>
    <w:uiPriority w:val="99"/>
    <w:semiHidden/>
    <w:unhideWhenUsed/>
    <w:rsid w:val="00970EFC"/>
    <w:rPr>
      <w:sz w:val="16"/>
      <w:szCs w:val="16"/>
    </w:rPr>
  </w:style>
  <w:style w:type="paragraph" w:styleId="CommentText">
    <w:name w:val="annotation text"/>
    <w:basedOn w:val="Normal"/>
    <w:link w:val="CommentTextChar"/>
    <w:uiPriority w:val="99"/>
    <w:semiHidden/>
    <w:unhideWhenUsed/>
    <w:rsid w:val="00970EFC"/>
    <w:rPr>
      <w:sz w:val="20"/>
    </w:rPr>
  </w:style>
  <w:style w:type="character" w:customStyle="1" w:styleId="CommentTextChar">
    <w:name w:val="Comment Text Char"/>
    <w:basedOn w:val="DefaultParagraphFont"/>
    <w:link w:val="CommentText"/>
    <w:uiPriority w:val="99"/>
    <w:semiHidden/>
    <w:rsid w:val="00970EFC"/>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970EFC"/>
    <w:rPr>
      <w:b/>
      <w:bCs/>
    </w:rPr>
  </w:style>
  <w:style w:type="character" w:customStyle="1" w:styleId="CommentSubjectChar">
    <w:name w:val="Comment Subject Char"/>
    <w:basedOn w:val="CommentTextChar"/>
    <w:link w:val="CommentSubject"/>
    <w:uiPriority w:val="99"/>
    <w:semiHidden/>
    <w:rsid w:val="00970EFC"/>
    <w:rPr>
      <w:rFonts w:ascii="Times New Roman" w:eastAsia="Times New Roman" w:hAnsi="Times New Roman"/>
      <w:b/>
      <w:bCs/>
      <w:color w:val="000000"/>
    </w:rPr>
  </w:style>
  <w:style w:type="paragraph" w:styleId="Revision">
    <w:name w:val="Revision"/>
    <w:hidden/>
    <w:uiPriority w:val="99"/>
    <w:semiHidden/>
    <w:rsid w:val="006474FD"/>
    <w:rPr>
      <w:rFonts w:ascii="Times New Roman" w:eastAsia="Times New Roman" w:hAnsi="Times New Roman"/>
      <w:color w:val="000000"/>
      <w:sz w:val="24"/>
    </w:rPr>
  </w:style>
  <w:style w:type="character" w:styleId="Hyperlink">
    <w:name w:val="Hyperlink"/>
    <w:basedOn w:val="DefaultParagraphFont"/>
    <w:uiPriority w:val="99"/>
    <w:unhideWhenUsed/>
    <w:rsid w:val="008D0377"/>
    <w:rPr>
      <w:color w:val="0563C1" w:themeColor="hyperlink"/>
      <w:u w:val="single"/>
    </w:rPr>
  </w:style>
  <w:style w:type="character" w:styleId="UnresolvedMention">
    <w:name w:val="Unresolved Mention"/>
    <w:basedOn w:val="DefaultParagraphFont"/>
    <w:uiPriority w:val="99"/>
    <w:semiHidden/>
    <w:unhideWhenUsed/>
    <w:rsid w:val="008D0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pcqld.sharepoint.com/sites/DPC-CABINETSERVICES/Shared%20Documents/General/Proactive%20Release/ToBeProcessed/2022/Oct/DFVOLAB2022/Attachments/SoC.PDF" TargetMode="External"/><Relationship Id="rId5" Type="http://schemas.openxmlformats.org/officeDocument/2006/relationships/settings" Target="settings.xml"/><Relationship Id="rId10" Type="http://schemas.openxmlformats.org/officeDocument/2006/relationships/hyperlink" Target="https://dpcqld.sharepoint.com/sites/DPC-CABINETSERVICES/Shared%20Documents/General/Proactive%20Release/ToBeProcessed/2022/Oct/DFVOLAB2022/Attachments/ExNotes.PDF" TargetMode="Externa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2/Oct/DFVOLAB2022/Attachments/Bil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4112D-D366-46B3-9298-6AA16CAC44A6}">
  <ds:schemaRefs>
    <ds:schemaRef ds:uri="http://schemas.microsoft.com/sharepoint/v3/contenttype/forms"/>
  </ds:schemaRefs>
</ds:datastoreItem>
</file>

<file path=customXml/itemProps2.xml><?xml version="1.0" encoding="utf-8"?>
<ds:datastoreItem xmlns:ds="http://schemas.openxmlformats.org/officeDocument/2006/customXml" ds:itemID="{B8343598-5D81-479E-B5BC-B96403D1C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387</Words>
  <Characters>2220</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Base>https://www.cabinet.qld.gov.au/documents/2022/Oct/DFVOLAB2022/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cp:lastPrinted>2022-09-08T01:54:00Z</cp:lastPrinted>
  <dcterms:created xsi:type="dcterms:W3CDTF">2022-09-08T03:16:00Z</dcterms:created>
  <dcterms:modified xsi:type="dcterms:W3CDTF">2024-09-17T01:18:00Z</dcterms:modified>
  <cp:category>Domestic_and_Family_Violence,Domestic_Violence,Justice,Safety,Legislation,Women</cp:category>
</cp:coreProperties>
</file>